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37" w:rsidRDefault="00545DEC" w:rsidP="00B56473">
      <w:pPr>
        <w:keepNext/>
        <w:keepLines/>
        <w:tabs>
          <w:tab w:val="left" w:pos="1035"/>
        </w:tabs>
        <w:spacing w:before="100" w:after="100" w:line="240" w:lineRule="auto"/>
        <w:ind w:left="1040" w:hanging="1040"/>
        <w:contextualSpacing/>
        <w:outlineLvl w:val="2"/>
        <w:rPr>
          <w:rFonts w:ascii="Arial" w:hAnsi="Arial"/>
          <w:b/>
          <w:color w:val="000000"/>
          <w:sz w:val="19"/>
        </w:rPr>
      </w:pPr>
      <w:r>
        <w:rPr>
          <w:rFonts w:ascii="Arial" w:hAnsi="Arial"/>
          <w:b/>
          <w:color w:val="000000"/>
          <w:sz w:val="19"/>
        </w:rPr>
        <w:t>Merlin LPS - Quattro 8h / 88VA / 04 Kr. / Industriegehäuse</w:t>
      </w:r>
    </w:p>
    <w:p w:rsidR="00B56473" w:rsidRDefault="00B56473" w:rsidP="00B56473">
      <w:pPr>
        <w:keepNext/>
        <w:keepLines/>
        <w:tabs>
          <w:tab w:val="left" w:pos="1035"/>
        </w:tabs>
        <w:spacing w:before="100" w:after="100" w:line="240" w:lineRule="auto"/>
        <w:ind w:left="1040" w:hanging="1040"/>
        <w:contextualSpacing/>
        <w:outlineLvl w:val="2"/>
        <w:rPr>
          <w:rFonts w:ascii="Arial"/>
          <w:b/>
          <w:color w:val="000000"/>
          <w:sz w:val="19"/>
        </w:rPr>
      </w:pPr>
      <w:bookmarkStart w:id="0" w:name="_GoBack"/>
      <w:bookmarkEnd w:id="0"/>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Vorbemerkung</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Für das Gebäude ist eine Sicherheitsbeleuchtungsanlage bestehend aus einem LPS-System gemäß DIN EN 50171 zur Versorgung von Sicherheits- und Rettungszeichenleuchten. Die Sicherheitsbeleuchtung ist gemäß VDE 0108-100, DIN VDE 0100-560, DIN EN 50272, DGUV V3</w:t>
      </w:r>
      <w:r>
        <w:rPr>
          <w:rFonts w:ascii="Arial" w:hAnsi="Arial"/>
          <w:color w:val="000000"/>
          <w:sz w:val="20"/>
        </w:rPr>
        <w:t>, DIN EN 1838, DIN 4844 und DIN EN 60598 (jeweils neusten Fassung) anzubieten und zu errichten.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Hinsichtlich der Unterbringung, Installation, Belüftung und der Schutzmaßnahmen sind die einschlägigen Vorschriften der </w:t>
      </w:r>
      <w:proofErr w:type="spellStart"/>
      <w:r>
        <w:rPr>
          <w:rFonts w:ascii="Arial" w:hAnsi="Arial"/>
          <w:color w:val="000000"/>
          <w:sz w:val="20"/>
        </w:rPr>
        <w:t>EltBauVO</w:t>
      </w:r>
      <w:proofErr w:type="spellEnd"/>
      <w:r>
        <w:rPr>
          <w:rFonts w:ascii="Arial" w:hAnsi="Arial"/>
          <w:color w:val="000000"/>
          <w:sz w:val="20"/>
        </w:rPr>
        <w:t>, MLAR und DIN EN 50272 (jewei</w:t>
      </w:r>
      <w:r>
        <w:rPr>
          <w:rFonts w:ascii="Arial" w:hAnsi="Arial"/>
          <w:color w:val="000000"/>
          <w:sz w:val="20"/>
        </w:rPr>
        <w:t>ls neusten Fassung) zu beachten.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Leuchten für die Sicherheitsbeleuchtung sind rot zu kennzeichnen. In unmittelbarer Nähe der Brennstellen sind Stromkreisbezeichnungsschilder anzubringen. Diese sind in die Einheitspreise mit einzurechnen. Rettungszeichenl</w:t>
      </w:r>
      <w:r>
        <w:rPr>
          <w:rFonts w:ascii="Arial" w:hAnsi="Arial"/>
          <w:color w:val="000000"/>
          <w:sz w:val="20"/>
        </w:rPr>
        <w:t>euchten sind in Dauerschaltung auszuführen. Alle weiteren Leuchten werden in Bereitschaftsschaltung vorgesehen. Das System muss die Möglichkeit bieten, Leuchten der Allgemeinbeleuchtung in die Sicherheitsbeleuchtung mit zu integrieren. Systeme mit 24V Ausg</w:t>
      </w:r>
      <w:r>
        <w:rPr>
          <w:rFonts w:ascii="Arial" w:hAnsi="Arial"/>
          <w:color w:val="000000"/>
          <w:sz w:val="20"/>
        </w:rPr>
        <w:t xml:space="preserve">angsspannung sind daher nicht zugelassen.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In den Unterverteilungen der Allgemeinbeleuchtung ist die Netzspannung durch Netzwächter (optional BUS-Netzwächter) zu überwachen. Die selektive Zuschaltung einzelner Bereiche muss bei Ausfall der Allgemeinbeleu</w:t>
      </w:r>
      <w:r>
        <w:rPr>
          <w:rFonts w:ascii="Arial" w:hAnsi="Arial"/>
          <w:color w:val="000000"/>
          <w:sz w:val="20"/>
        </w:rPr>
        <w:t>chtung gewährleistet sein.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Der Betriebszustand der Sicherheitsbeleuchtung ist an eine ständig besetzte Stelle optisch und akustisch zu melden.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Es wurde nachstehendes Leitfabrikat festgelegt, welches die gestellten Anforderungen erfüllt.</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Zentrale</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Gess</w:t>
      </w:r>
      <w:r>
        <w:rPr>
          <w:rFonts w:ascii="Arial" w:hAnsi="Arial"/>
          <w:color w:val="000000"/>
          <w:sz w:val="20"/>
        </w:rPr>
        <w:t xml:space="preserve">ler GmbH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Gutenbergring 14</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63110 Rodgau</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Tel: (06106) 87 09 - 0</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Mail: </w:t>
      </w:r>
      <w:hyperlink r:id="rId6">
        <w:r>
          <w:rPr>
            <w:rFonts w:ascii="Arial" w:hAnsi="Arial"/>
            <w:color w:val="000000"/>
            <w:sz w:val="20"/>
          </w:rPr>
          <w:t>info@gessler.de</w:t>
        </w:r>
      </w:hyperlink>
      <w:r>
        <w:rPr>
          <w:rFonts w:ascii="Arial" w:hAnsi="Arial"/>
          <w:color w:val="000000"/>
          <w:sz w:val="20"/>
        </w:rPr>
        <w:t xml:space="preserve">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Der Bieter hat die Möglichkeit ein anderes Fabrikat anzubieten, jedoch ist die Gleichwertigkeit mit dem Leitfabrikat nachzuweisen.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Hierbei sind insbesondere folgende Unterlagen vorzulegen: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Technische Beschreibung mit technischen Angaben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Abmessungen u</w:t>
      </w:r>
      <w:r>
        <w:rPr>
          <w:rFonts w:ascii="Arial" w:hAnsi="Arial"/>
          <w:color w:val="000000"/>
          <w:sz w:val="20"/>
        </w:rPr>
        <w:t>nd Aufbauzeichnungen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Bezugsquellennachweise</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Kundendienststellen und Wartungsmöglichkeiten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Referenzlisten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LPS-System zur Versorgung und Überwachung von max. 80 Rettungs- und Sicherheitsleuchten. Die Verbraucher werden mit einer Ausgangsspannung von 230V AC versorgt. Systeme mit 24V Ausgangsspannung werden nicht zugelassen, da Teile der Allgemeinleuchten auch a</w:t>
      </w:r>
      <w:r>
        <w:rPr>
          <w:rFonts w:ascii="Arial" w:hAnsi="Arial"/>
          <w:color w:val="000000"/>
          <w:sz w:val="20"/>
        </w:rPr>
        <w:t xml:space="preserve">ls Sicherheitsbeleuchtung Verwendung finden.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Technische Daten:</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Verbraucherleistung: 88VA</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Nennbetriebsdauer: 8h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Batteriespannung: 24V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Netzanschluss: 230V AC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Verbraucherspannung.: 230V AC</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Systemaufbau:</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Mikroprozessor-Steuerteil mit beleuchtetem Displ</w:t>
      </w:r>
      <w:r>
        <w:rPr>
          <w:rFonts w:ascii="Arial" w:hAnsi="Arial"/>
          <w:color w:val="000000"/>
          <w:sz w:val="20"/>
        </w:rPr>
        <w:t xml:space="preserve">ay.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Klartextanzeige aller Systemzustände.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lastRenderedPageBreak/>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Gehäuse: </w:t>
      </w:r>
    </w:p>
    <w:p w:rsidR="00CD7D37" w:rsidRDefault="00545DEC" w:rsidP="00B56473">
      <w:pPr>
        <w:keepNext/>
        <w:keepLines/>
        <w:spacing w:before="100" w:after="100" w:line="240" w:lineRule="auto"/>
        <w:contextualSpacing/>
        <w:rPr>
          <w:rFonts w:ascii="Arial"/>
          <w:color w:val="000000"/>
          <w:sz w:val="20"/>
        </w:rPr>
      </w:pPr>
      <w:r>
        <w:rPr>
          <w:rFonts w:ascii="Arial" w:hAnsi="Arial"/>
          <w:color w:val="000000"/>
          <w:sz w:val="20"/>
        </w:rPr>
        <w:t>Robustes Stahlblechgehäuse mit technischer Schließung (Doppelbart).</w:t>
      </w:r>
      <w:r>
        <w:rPr>
          <w:rFonts w:ascii="Arial" w:hAnsi="Arial"/>
          <w:color w:val="000000"/>
          <w:sz w:val="20"/>
        </w:rPr>
        <w:br/>
        <w:t>Kabeleinführung: von oben</w:t>
      </w:r>
      <w:r>
        <w:rPr>
          <w:rFonts w:ascii="Arial" w:hAnsi="Arial"/>
          <w:color w:val="000000"/>
          <w:sz w:val="20"/>
        </w:rPr>
        <w:br/>
        <w:t xml:space="preserve">Gewicht: 35kg </w:t>
      </w:r>
      <w:r>
        <w:rPr>
          <w:rFonts w:ascii="Arial" w:hAnsi="Arial"/>
          <w:color w:val="000000"/>
          <w:sz w:val="20"/>
        </w:rPr>
        <w:br/>
        <w:t>Schutzart: IP21</w:t>
      </w:r>
      <w:r>
        <w:rPr>
          <w:rFonts w:ascii="Arial" w:hAnsi="Arial"/>
          <w:color w:val="000000"/>
          <w:sz w:val="20"/>
        </w:rPr>
        <w:br/>
        <w:t>Schutzklasse: I</w:t>
      </w:r>
      <w:r>
        <w:rPr>
          <w:rFonts w:ascii="Arial" w:hAnsi="Arial"/>
          <w:color w:val="000000"/>
          <w:sz w:val="20"/>
        </w:rPr>
        <w:br/>
        <w:t>Gehäusefarbe: RAL 7035</w:t>
      </w:r>
      <w:r>
        <w:rPr>
          <w:rFonts w:ascii="Arial" w:hAnsi="Arial"/>
          <w:color w:val="000000"/>
          <w:sz w:val="20"/>
        </w:rPr>
        <w:br/>
        <w:t>Außenmaße: H:1000mm x B:500mm x T:25</w:t>
      </w:r>
      <w:r>
        <w:rPr>
          <w:rFonts w:ascii="Arial" w:hAnsi="Arial"/>
          <w:color w:val="000000"/>
          <w:sz w:val="20"/>
        </w:rPr>
        <w:t>0mm</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Bestückung: </w:t>
      </w:r>
    </w:p>
    <w:p w:rsidR="00CD7D37" w:rsidRDefault="00545DEC" w:rsidP="00B56473">
      <w:pPr>
        <w:keepNext/>
        <w:keepLines/>
        <w:spacing w:before="100" w:after="100" w:line="240" w:lineRule="auto"/>
        <w:contextualSpacing/>
        <w:rPr>
          <w:rFonts w:ascii="Arial"/>
          <w:color w:val="000000"/>
          <w:sz w:val="20"/>
        </w:rPr>
      </w:pPr>
      <w:r>
        <w:rPr>
          <w:rFonts w:ascii="Arial" w:hAnsi="Arial"/>
          <w:color w:val="000000"/>
          <w:sz w:val="20"/>
        </w:rPr>
        <w:t xml:space="preserve">4 Stück Endstromkreise (1,6A) für Mischbetrieb </w:t>
      </w:r>
      <w:r>
        <w:rPr>
          <w:rFonts w:ascii="Arial" w:hAnsi="Arial"/>
          <w:color w:val="000000"/>
          <w:sz w:val="20"/>
        </w:rPr>
        <w:br/>
        <w:t xml:space="preserve">4 Stück </w:t>
      </w:r>
      <w:proofErr w:type="spellStart"/>
      <w:r>
        <w:rPr>
          <w:rFonts w:ascii="Arial" w:hAnsi="Arial"/>
          <w:color w:val="000000"/>
          <w:sz w:val="20"/>
        </w:rPr>
        <w:t>pot</w:t>
      </w:r>
      <w:proofErr w:type="spellEnd"/>
      <w:r>
        <w:rPr>
          <w:rFonts w:ascii="Arial" w:hAnsi="Arial"/>
          <w:color w:val="000000"/>
          <w:sz w:val="20"/>
        </w:rPr>
        <w:t xml:space="preserve">. freie Schalteingänge </w:t>
      </w:r>
      <w:r>
        <w:rPr>
          <w:rFonts w:ascii="Arial" w:hAnsi="Arial"/>
          <w:color w:val="000000"/>
          <w:sz w:val="20"/>
        </w:rPr>
        <w:br/>
        <w:t xml:space="preserve">1 Stück Anschlussklemme für externes Meldetableau </w:t>
      </w:r>
      <w:r>
        <w:rPr>
          <w:rFonts w:ascii="Arial" w:hAnsi="Arial"/>
          <w:color w:val="000000"/>
          <w:sz w:val="20"/>
        </w:rPr>
        <w:br/>
        <w:t xml:space="preserve">1 Stück Anschlussklemme für externen Netzwächter (Schleifenüberwachung) </w:t>
      </w:r>
      <w:r>
        <w:rPr>
          <w:rFonts w:ascii="Arial" w:hAnsi="Arial"/>
          <w:color w:val="000000"/>
          <w:sz w:val="20"/>
        </w:rPr>
        <w:br/>
      </w:r>
      <w:r>
        <w:rPr>
          <w:rFonts w:ascii="Arial" w:hAnsi="Arial"/>
          <w:color w:val="000000"/>
          <w:sz w:val="20"/>
        </w:rPr>
        <w:t>1 Stück Anschlussklemme für externen Gessler BUS-Netzwächter (optional)</w:t>
      </w:r>
      <w:r>
        <w:rPr>
          <w:rFonts w:ascii="Arial" w:hAnsi="Arial"/>
          <w:color w:val="000000"/>
          <w:sz w:val="20"/>
        </w:rPr>
        <w:br/>
        <w:t xml:space="preserve">1 Stück TCP/IP Netzwerkanschluss </w:t>
      </w:r>
      <w:r>
        <w:rPr>
          <w:rFonts w:ascii="Arial" w:hAnsi="Arial"/>
          <w:color w:val="000000"/>
          <w:sz w:val="20"/>
        </w:rPr>
        <w:br/>
        <w:t xml:space="preserve">1 Stück USB-Anschluss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Batterieanlage:</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Wartungsfreie, verschlossene 1</w:t>
      </w:r>
      <w:r w:rsidR="00B56473">
        <w:rPr>
          <w:rFonts w:ascii="Arial" w:hAnsi="Arial"/>
          <w:color w:val="000000"/>
          <w:sz w:val="20"/>
        </w:rPr>
        <w:t>2V Blei-Block-Batterie. Lebens</w:t>
      </w:r>
      <w:r>
        <w:rPr>
          <w:rFonts w:ascii="Arial" w:hAnsi="Arial"/>
          <w:color w:val="000000"/>
          <w:sz w:val="20"/>
        </w:rPr>
        <w:t>erwartung: &gt;10 Jahre (bei 20°C). Eingebaut im B</w:t>
      </w:r>
      <w:r>
        <w:rPr>
          <w:rFonts w:ascii="Arial" w:hAnsi="Arial"/>
          <w:color w:val="000000"/>
          <w:sz w:val="20"/>
        </w:rPr>
        <w:t xml:space="preserve">atteriefach des Kombischrankes.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Fabrikat: Gessler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Typ: MERLIN_QUATTRO_T5-IND_</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Angebotenes Fabrikat:</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xml:space="preserve">Angebotener Typ: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 </w:t>
      </w:r>
    </w:p>
    <w:p w:rsidR="00CD7D37" w:rsidRDefault="00545DEC" w:rsidP="00B56473">
      <w:pPr>
        <w:keepNext/>
        <w:keepLines/>
        <w:spacing w:before="100" w:after="100" w:line="240" w:lineRule="auto"/>
        <w:contextualSpacing/>
        <w:jc w:val="both"/>
        <w:rPr>
          <w:rFonts w:ascii="Arial"/>
          <w:color w:val="000000"/>
          <w:sz w:val="20"/>
        </w:rPr>
      </w:pPr>
      <w:r>
        <w:rPr>
          <w:rFonts w:ascii="Arial" w:hAnsi="Arial"/>
          <w:color w:val="000000"/>
          <w:sz w:val="20"/>
        </w:rPr>
        <w:t>Komplett liefern, montieren und betriebsfertig anschließen.</w:t>
      </w:r>
    </w:p>
    <w:p w:rsidR="00CD7D37" w:rsidRDefault="00CD7D37" w:rsidP="00B56473">
      <w:pPr>
        <w:spacing w:after="0" w:line="0" w:lineRule="auto"/>
        <w:contextualSpacing/>
      </w:pPr>
    </w:p>
    <w:sectPr w:rsidR="00CD7D37">
      <w:headerReference w:type="default" r:id="rId7"/>
      <w:pgSz w:w="12240" w:h="15840"/>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EC" w:rsidRDefault="00545DEC">
      <w:pPr>
        <w:spacing w:after="0" w:line="240" w:lineRule="auto"/>
      </w:pPr>
      <w:r>
        <w:separator/>
      </w:r>
    </w:p>
  </w:endnote>
  <w:endnote w:type="continuationSeparator" w:id="0">
    <w:p w:rsidR="00545DEC" w:rsidRDefault="0054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EC" w:rsidRDefault="00545DEC">
      <w:pPr>
        <w:spacing w:after="0" w:line="240" w:lineRule="auto"/>
      </w:pPr>
      <w:r>
        <w:separator/>
      </w:r>
    </w:p>
  </w:footnote>
  <w:footnote w:type="continuationSeparator" w:id="0">
    <w:p w:rsidR="00545DEC" w:rsidRDefault="0054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37"/>
    <w:rsid w:val="00545DEC"/>
    <w:rsid w:val="00B56473"/>
    <w:rsid w:val="00CD7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F05F"/>
  <w15:docId w15:val="{953B90CE-88FB-4463-9A4D-458A5FCA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4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473"/>
  </w:style>
  <w:style w:type="paragraph" w:styleId="Fuzeile">
    <w:name w:val="footer"/>
    <w:basedOn w:val="Standard"/>
    <w:link w:val="FuzeileZchn"/>
    <w:uiPriority w:val="99"/>
    <w:unhideWhenUsed/>
    <w:rsid w:val="00B564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essler.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Eller</dc:creator>
  <cp:lastModifiedBy>Patrick Eller</cp:lastModifiedBy>
  <cp:revision>2</cp:revision>
  <dcterms:created xsi:type="dcterms:W3CDTF">2017-04-05T08:33:00Z</dcterms:created>
  <dcterms:modified xsi:type="dcterms:W3CDTF">2017-04-05T08:33:00Z</dcterms:modified>
</cp:coreProperties>
</file>